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200"/>
      </w:pPr>
      <w:r>
        <w:rPr>
          <w:rFonts w:ascii="Calibri" w:cs="Calibri" w:eastAsia="Calibri" w:hAnsi="Calibri"/>
          <w:b/>
          <w:bCs/>
          <w:i w:val="false"/>
          <w:iCs w:val="false"/>
          <w:color w:val="666666"/>
          <w:sz w:val="24"/>
          <w:szCs w:val="24"/>
        </w:rPr>
        <w:t xml:space="preserve">[YOUR ORGANIZATION NAME / LOGO]</w:t>
      </w:r>
    </w:p>
    <w:p>
      <w:pPr>
        <w:spacing w:after="200"/>
      </w:pPr>
      <w:r>
        <w:rPr>
          <w:rFonts w:ascii="Calibri" w:cs="Calibri" w:eastAsia="Calibri" w:hAnsi="Calibri"/>
          <w:b/>
          <w:bCs/>
          <w:color w:val="0B1C3F"/>
          <w:sz w:val="56"/>
          <w:szCs w:val="56"/>
        </w:rPr>
        <w:t xml:space="preserve">Request for Proposal</w:t>
      </w:r>
    </w:p>
    <w:p>
      <w:pPr>
        <w:spacing w:after="300"/>
      </w:pPr>
      <w:r>
        <w:rPr>
          <w:rFonts w:ascii="Calibri" w:cs="Calibri" w:eastAsia="Calibri" w:hAnsi="Calibri"/>
          <w:b/>
          <w:bCs/>
          <w:color w:val="3BC47D"/>
          <w:sz w:val="32"/>
          <w:szCs w:val="32"/>
        </w:rPr>
        <w:t xml:space="preserve">eDiscovery Platform Selection</w:t>
      </w:r>
    </w:p>
    <w:p>
      <w:pPr>
        <w:spacing w:after="160" w:before="0"/>
      </w:pPr>
      <w:r>
        <w:rPr>
          <w:rFonts w:ascii="Calibri" w:cs="Calibri" w:eastAsia="Calibri" w:hAnsi="Calibri"/>
          <w:b w:val="false"/>
          <w:bCs w:val="false"/>
          <w:i w:val="false"/>
          <w:iCs w:val="false"/>
          <w:color w:val="666666"/>
          <w:sz w:val="22"/>
          <w:szCs w:val="22"/>
        </w:rPr>
        <w:t xml:space="preserve">Issued by: [Organization name]</w:t>
      </w:r>
    </w:p>
    <w:p>
      <w:pPr>
        <w:spacing w:after="160" w:before="0"/>
      </w:pPr>
      <w:r>
        <w:rPr>
          <w:rFonts w:ascii="Calibri" w:cs="Calibri" w:eastAsia="Calibri" w:hAnsi="Calibri"/>
          <w:b w:val="false"/>
          <w:bCs w:val="false"/>
          <w:i w:val="false"/>
          <w:iCs w:val="false"/>
          <w:color w:val="666666"/>
          <w:sz w:val="22"/>
          <w:szCs w:val="22"/>
        </w:rPr>
        <w:t xml:space="preserve">Issue date: [Date]</w:t>
      </w:r>
    </w:p>
    <w:p>
      <w:pPr>
        <w:spacing w:after="160" w:before="0"/>
      </w:pPr>
      <w:r>
        <w:rPr>
          <w:rFonts w:ascii="Calibri" w:cs="Calibri" w:eastAsia="Calibri" w:hAnsi="Calibri"/>
          <w:b w:val="false"/>
          <w:bCs w:val="false"/>
          <w:i w:val="false"/>
          <w:iCs w:val="false"/>
          <w:color w:val="666666"/>
          <w:sz w:val="22"/>
          <w:szCs w:val="22"/>
        </w:rPr>
        <w:t xml:space="preserve">Response deadline: [Date, time, time zone]</w:t>
      </w:r>
    </w:p>
    <w:p>
      <w:pPr>
        <w:spacing w:after="500" w:before="0"/>
      </w:pPr>
      <w:r>
        <w:rPr>
          <w:rFonts w:ascii="Calibri" w:cs="Calibri" w:eastAsia="Calibri" w:hAnsi="Calibri"/>
          <w:b w:val="false"/>
          <w:bCs w:val="false"/>
          <w:i w:val="false"/>
          <w:iCs w:val="false"/>
          <w:color w:val="666666"/>
          <w:sz w:val="22"/>
          <w:szCs w:val="22"/>
        </w:rPr>
        <w:t xml:space="preserve">RFP contact: [Name, title, email]</w:t>
      </w:r>
    </w:p>
    <w:p>
      <w:pPr>
        <w:pBdr>
          <w:top w:val="single" w:color="E0E2EB" w:sz="6"/>
        </w:pBdr>
        <w:spacing w:after="0"/>
      </w:pPr>
      <w:r>
        <w:rPr>
          <w:rFonts w:ascii="Calibri" w:cs="Calibri" w:eastAsia="Calibri" w:hAnsi="Calibri"/>
          <w:b w:val="false"/>
          <w:bCs w:val="false"/>
          <w:i/>
          <w:iCs/>
          <w:color w:val="666666"/>
          <w:sz w:val="19"/>
          <w:szCs w:val="19"/>
        </w:rPr>
        <w:t xml:space="preserve">Template provided by Venio Systems (veniosystems.com). Replace all [bracketed] fields, delete the "Notes for the issuing team" boxes, and adapt freely before sending. 32 questions across 7 sections; a companion Excel scorecard applies weighted scoring to the responses.</w:t>
      </w:r>
    </w:p>
    <w:p>
      <w:pPr>
        <w:pageBreakBefore/>
      </w:pPr>
      <w:r>
        <w:br/>
        <w:t xml:space="preserve"/>
      </w:r>
    </w:p>
    <w:p>
      <w:pPr>
        <w:pStyle w:val="Heading1"/>
        <w:spacing w:after="200" w:before="360"/>
      </w:pPr>
      <w:r>
        <w:rPr>
          <w:rFonts w:ascii="Calibri" w:cs="Calibri" w:eastAsia="Calibri" w:hAnsi="Calibri"/>
          <w:b/>
          <w:bCs/>
          <w:color w:val="0B1C3F"/>
          <w:sz w:val="32"/>
          <w:szCs w:val="32"/>
        </w:rPr>
        <w:t xml:space="preserve">1. About This RFP</w:t>
      </w:r>
    </w:p>
    <w:p>
      <w:pPr>
        <w:spacing w:after="160" w:before="0"/>
      </w:pPr>
      <w:r>
        <w:rPr>
          <w:rFonts w:ascii="Calibri" w:cs="Calibri" w:eastAsia="Calibri" w:hAnsi="Calibri"/>
          <w:b w:val="false"/>
          <w:bCs w:val="false"/>
          <w:i w:val="false"/>
          <w:iCs w:val="false"/>
          <w:color w:val="2E2E2E"/>
          <w:sz w:val="22"/>
          <w:szCs w:val="22"/>
        </w:rPr>
        <w:t xml:space="preserve">[Organization name] invites your organization to respond to this Request for Proposal for an eDiscovery platform. We are evaluating platforms to support our litigation and investigation workflows — from legal hold and collection through processing, review, and production.</w:t>
      </w:r>
    </w:p>
    <w:p>
      <w:pPr>
        <w:spacing w:after="160" w:before="0"/>
      </w:pPr>
      <w:r>
        <w:rPr>
          <w:rFonts w:ascii="Calibri" w:cs="Calibri" w:eastAsia="Calibri" w:hAnsi="Calibri"/>
          <w:b w:val="false"/>
          <w:bCs w:val="false"/>
          <w:i w:val="false"/>
          <w:iCs w:val="false"/>
          <w:color w:val="2E2E2E"/>
          <w:sz w:val="22"/>
          <w:szCs w:val="22"/>
        </w:rPr>
        <w:t xml:space="preserve">Background: [2–4 sentences on your organization, the trigger for this evaluation (e.g., contract renewal, platform consolidation, cost pressure, new deployment requirements), and the outcome you want.]</w:t>
      </w:r>
    </w:p>
    <w:p>
      <w:pPr>
        <w:pStyle w:val="Heading2"/>
        <w:spacing w:after="160" w:before="280"/>
      </w:pPr>
      <w:r>
        <w:rPr>
          <w:rFonts w:ascii="Calibri" w:cs="Calibri" w:eastAsia="Calibri" w:hAnsi="Calibri"/>
          <w:b/>
          <w:bCs/>
          <w:color w:val="0B2042"/>
          <w:sz w:val="26"/>
          <w:szCs w:val="26"/>
        </w:rPr>
        <w:t xml:space="preserve">Response instructions</w:t>
      </w:r>
    </w:p>
    <w:p>
      <w:pPr>
        <w:pStyle w:val="ListParagraph"/>
        <w:numPr>
          <w:ilvl w:val="0"/>
          <w:numId w:val="2"/>
        </w:numPr>
        <w:spacing w:after="100"/>
      </w:pPr>
      <w:r>
        <w:rPr>
          <w:rFonts w:ascii="Calibri" w:cs="Calibri" w:eastAsia="Calibri" w:hAnsi="Calibri"/>
          <w:b w:val="false"/>
          <w:bCs w:val="false"/>
          <w:color w:val="2E2E2E"/>
          <w:sz w:val="22"/>
          <w:szCs w:val="22"/>
        </w:rPr>
        <w:t xml:space="preserve">Answer every question in the response field provided, in order. If a capability is on your roadmap rather than generally available, say so explicitly and give the release date.</w:t>
      </w:r>
    </w:p>
    <w:p>
      <w:pPr>
        <w:pStyle w:val="ListParagraph"/>
        <w:numPr>
          <w:ilvl w:val="0"/>
          <w:numId w:val="2"/>
        </w:numPr>
        <w:spacing w:after="100"/>
      </w:pPr>
      <w:r>
        <w:rPr>
          <w:rFonts w:ascii="Calibri" w:cs="Calibri" w:eastAsia="Calibri" w:hAnsi="Calibri"/>
          <w:b w:val="false"/>
          <w:bCs w:val="false"/>
          <w:color w:val="2E2E2E"/>
          <w:sz w:val="22"/>
          <w:szCs w:val="22"/>
        </w:rPr>
        <w:t xml:space="preserve">Where a question asks for pricing or a projection, use the Matter Profile in Section 2 of this document. Do not substitute a different profile.</w:t>
      </w:r>
    </w:p>
    <w:p>
      <w:pPr>
        <w:pStyle w:val="ListParagraph"/>
        <w:numPr>
          <w:ilvl w:val="0"/>
          <w:numId w:val="2"/>
        </w:numPr>
        <w:spacing w:after="100"/>
      </w:pPr>
      <w:r>
        <w:rPr>
          <w:rFonts w:ascii="Calibri" w:cs="Calibri" w:eastAsia="Calibri" w:hAnsi="Calibri"/>
          <w:b w:val="false"/>
          <w:bCs w:val="false"/>
          <w:color w:val="2E2E2E"/>
          <w:sz w:val="22"/>
          <w:szCs w:val="22"/>
        </w:rPr>
        <w:t xml:space="preserve">Questions marked MANDATORY are pass/fail requirements: a response that does not meet them will end our evaluation of your platform regardless of other answers.</w:t>
      </w:r>
    </w:p>
    <w:p>
      <w:pPr>
        <w:pStyle w:val="ListParagraph"/>
        <w:numPr>
          <w:ilvl w:val="0"/>
          <w:numId w:val="2"/>
        </w:numPr>
        <w:spacing w:after="100"/>
      </w:pPr>
      <w:r>
        <w:rPr>
          <w:rFonts w:ascii="Calibri" w:cs="Calibri" w:eastAsia="Calibri" w:hAnsi="Calibri"/>
          <w:b w:val="false"/>
          <w:bCs w:val="false"/>
          <w:color w:val="2E2E2E"/>
          <w:sz w:val="22"/>
          <w:szCs w:val="22"/>
        </w:rPr>
        <w:t xml:space="preserve">State any assumption you make. Unstated assumptions will be interpreted against the response.</w:t>
      </w:r>
    </w:p>
    <w:p>
      <w:pPr>
        <w:pStyle w:val="ListParagraph"/>
        <w:numPr>
          <w:ilvl w:val="0"/>
          <w:numId w:val="2"/>
        </w:numPr>
        <w:spacing w:after="100"/>
      </w:pPr>
      <w:r>
        <w:rPr>
          <w:rFonts w:ascii="Calibri" w:cs="Calibri" w:eastAsia="Calibri" w:hAnsi="Calibri"/>
          <w:b w:val="false"/>
          <w:bCs w:val="false"/>
          <w:color w:val="2E2E2E"/>
          <w:sz w:val="22"/>
          <w:szCs w:val="22"/>
        </w:rPr>
        <w:t xml:space="preserve">Submit responses to [contact email] by [deadline]. Questions about this RFP are due by [date]; answers will be shared with all invited vendors.</w:t>
      </w:r>
    </w:p>
    <w:p>
      <w:pPr>
        <w:spacing w:after="240" w:before="0"/>
      </w:pPr>
      <w:r>
        <w:rPr>
          <w:rFonts w:ascii="Calibri" w:cs="Calibri" w:eastAsia="Calibri" w:hAnsi="Calibri"/>
          <w:b/>
          <w:bCs/>
          <w:i w:val="false"/>
          <w:iCs w:val="false"/>
          <w:color w:val="3BC47D"/>
          <w:sz w:val="20"/>
          <w:szCs w:val="20"/>
        </w:rPr>
        <w:t xml:space="preserve">Note for the issuing team (delete before sending): </w:t>
      </w:r>
      <w:r>
        <w:rPr>
          <w:rFonts w:ascii="Calibri" w:cs="Calibri" w:eastAsia="Calibri" w:hAnsi="Calibri"/>
          <w:b w:val="false"/>
          <w:bCs w:val="false"/>
          <w:i/>
          <w:iCs/>
          <w:color w:val="666666"/>
          <w:sz w:val="20"/>
          <w:szCs w:val="20"/>
        </w:rPr>
        <w:t xml:space="preserve">decide your category weights and your mandatory requirements before responses arrive, and record them in the companion scorecard. The evaluation method — anchored 0–5 scoring, pass/fail gates, weighted totals — is described in the scorecard's Read Me tab.</w:t>
      </w:r>
    </w:p>
    <w:p>
      <w:pPr>
        <w:pStyle w:val="Heading1"/>
        <w:spacing w:after="200" w:before="360"/>
      </w:pPr>
      <w:r>
        <w:rPr>
          <w:rFonts w:ascii="Calibri" w:cs="Calibri" w:eastAsia="Calibri" w:hAnsi="Calibri"/>
          <w:b/>
          <w:bCs/>
          <w:color w:val="0B1C3F"/>
          <w:sz w:val="32"/>
          <w:szCs w:val="32"/>
        </w:rPr>
        <w:t xml:space="preserve">2. Our Matter Profile</w:t>
      </w:r>
    </w:p>
    <w:p>
      <w:pPr>
        <w:spacing w:after="160" w:before="0"/>
      </w:pPr>
      <w:r>
        <w:rPr>
          <w:rFonts w:ascii="Calibri" w:cs="Calibri" w:eastAsia="Calibri" w:hAnsi="Calibri"/>
          <w:b w:val="false"/>
          <w:bCs w:val="false"/>
          <w:i w:val="false"/>
          <w:iCs w:val="false"/>
          <w:color w:val="2E2E2E"/>
          <w:sz w:val="22"/>
          <w:szCs w:val="22"/>
        </w:rPr>
        <w:t xml:space="preserve">All pricing, sizing, and projection questions in this RFP refer to the profile below. Complete it before issuing the RFP so every vendor prices against identical facts.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00"/>
        <w:gridCol w:w="3030"/>
        <w:gridCol w:w="3030"/>
      </w:tblGrid>
      <w:tr>
        <w:trPr>
          <w:tblHeader/>
        </w:trPr>
        <w:tc>
          <w:tcPr>
            <w:tcW w:type="dxa" w:w="3300"/>
            <w:tcBorders>
              <w:top w:val="single" w:color="E0E2EB" w:sz="4"/>
              <w:left w:val="single" w:color="E0E2EB" w:sz="4"/>
              <w:bottom w:val="single" w:color="E0E2EB" w:sz="4"/>
              <w:right w:val="single" w:color="E0E2EB" w:sz="4"/>
            </w:tcBorders>
            <w:shd w:fill="0B1C3F" w:color="auto" w:val="clear"/>
            <w:tcMar>
              <w:top w:type="dxa" w:w="100"/>
              <w:left w:type="dxa" w:w="140"/>
              <w:bottom w:type="dxa" w:w="100"/>
              <w:right w:type="dxa" w:w="140"/>
            </w:tcMar>
          </w:tcPr>
          <w:p>
            <w:pPr>
              <w:spacing w:after="0"/>
            </w:pPr>
            <w:r>
              <w:rPr>
                <w:rFonts w:ascii="Calibri" w:cs="Calibri" w:eastAsia="Calibri" w:hAnsi="Calibri"/>
                <w:b/>
                <w:bCs/>
                <w:color w:val="FFFFFF"/>
                <w:sz w:val="21"/>
                <w:szCs w:val="21"/>
              </w:rPr>
              <w:t xml:space="preserve">Profile item</w:t>
            </w:r>
          </w:p>
        </w:tc>
        <w:tc>
          <w:tcPr>
            <w:tcW w:type="dxa" w:w="3030"/>
            <w:tcBorders>
              <w:top w:val="single" w:color="E0E2EB" w:sz="4"/>
              <w:left w:val="single" w:color="E0E2EB" w:sz="4"/>
              <w:bottom w:val="single" w:color="E0E2EB" w:sz="4"/>
              <w:right w:val="single" w:color="E0E2EB" w:sz="4"/>
            </w:tcBorders>
            <w:shd w:fill="0B1C3F" w:color="auto" w:val="clear"/>
            <w:tcMar>
              <w:top w:type="dxa" w:w="100"/>
              <w:left w:type="dxa" w:w="140"/>
              <w:bottom w:type="dxa" w:w="100"/>
              <w:right w:type="dxa" w:w="140"/>
            </w:tcMar>
          </w:tcPr>
          <w:p>
            <w:pPr>
              <w:spacing w:after="0"/>
            </w:pPr>
            <w:r>
              <w:rPr>
                <w:rFonts w:ascii="Calibri" w:cs="Calibri" w:eastAsia="Calibri" w:hAnsi="Calibri"/>
                <w:b/>
                <w:bCs/>
                <w:color w:val="FFFFFF"/>
                <w:sz w:val="21"/>
                <w:szCs w:val="21"/>
              </w:rPr>
              <w:t xml:space="preserve">Our figure</w:t>
            </w:r>
          </w:p>
        </w:tc>
        <w:tc>
          <w:tcPr>
            <w:tcW w:type="dxa" w:w="3030"/>
            <w:tcBorders>
              <w:top w:val="single" w:color="E0E2EB" w:sz="4"/>
              <w:left w:val="single" w:color="E0E2EB" w:sz="4"/>
              <w:bottom w:val="single" w:color="E0E2EB" w:sz="4"/>
              <w:right w:val="single" w:color="E0E2EB" w:sz="4"/>
            </w:tcBorders>
            <w:shd w:fill="0B1C3F" w:color="auto" w:val="clear"/>
            <w:tcMar>
              <w:top w:type="dxa" w:w="100"/>
              <w:left w:type="dxa" w:w="140"/>
              <w:bottom w:type="dxa" w:w="100"/>
              <w:right w:type="dxa" w:w="140"/>
            </w:tcMar>
          </w:tcPr>
          <w:p>
            <w:pPr>
              <w:spacing w:after="0"/>
            </w:pPr>
            <w:r>
              <w:rPr>
                <w:rFonts w:ascii="Calibri" w:cs="Calibri" w:eastAsia="Calibri" w:hAnsi="Calibri"/>
                <w:b/>
                <w:bCs/>
                <w:color w:val="FFFFFF"/>
                <w:sz w:val="21"/>
                <w:szCs w:val="21"/>
              </w:rPr>
              <w:t xml:space="preserve">Notes</w:t>
            </w:r>
          </w:p>
        </w:tc>
      </w:tr>
      <w:tr>
        <w:tc>
          <w:tcPr>
            <w:tcW w:type="dxa" w:w="33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1"/>
                <w:szCs w:val="21"/>
              </w:rPr>
              <w:t xml:space="preserve">Matters per year with a discovery component</w:t>
            </w:r>
          </w:p>
        </w:tc>
        <w:tc>
          <w:tcPr>
            <w:tcW w:type="dxa" w:w="303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666666"/>
                <w:sz w:val="21"/>
                <w:szCs w:val="21"/>
              </w:rPr>
              <w:t xml:space="preserve">[e.g., 12]</w:t>
            </w:r>
          </w:p>
        </w:tc>
        <w:tc>
          <w:tcPr>
            <w:tcW w:type="dxa" w:w="303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666666"/>
                <w:sz w:val="21"/>
                <w:szCs w:val="21"/>
              </w:rPr>
              <w:t xml:space="preserve"/>
            </w:r>
          </w:p>
        </w:tc>
      </w:tr>
      <w:tr>
        <w:tc>
          <w:tcPr>
            <w:tcW w:type="dxa" w:w="33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1"/>
                <w:szCs w:val="21"/>
              </w:rPr>
              <w:t xml:space="preserve">Average data collected per matter (GB)</w:t>
            </w:r>
          </w:p>
        </w:tc>
        <w:tc>
          <w:tcPr>
            <w:tcW w:type="dxa" w:w="303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666666"/>
                <w:sz w:val="21"/>
                <w:szCs w:val="21"/>
              </w:rPr>
              <w:t xml:space="preserve">[e.g., 100 GB]</w:t>
            </w:r>
          </w:p>
        </w:tc>
        <w:tc>
          <w:tcPr>
            <w:tcW w:type="dxa" w:w="303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666666"/>
                <w:sz w:val="21"/>
                <w:szCs w:val="21"/>
              </w:rPr>
              <w:t xml:space="preserve"/>
            </w:r>
          </w:p>
        </w:tc>
      </w:tr>
      <w:tr>
        <w:tc>
          <w:tcPr>
            <w:tcW w:type="dxa" w:w="33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1"/>
                <w:szCs w:val="21"/>
              </w:rPr>
              <w:t xml:space="preserve">Largest matter in the last 3 years (GB / documents)</w:t>
            </w:r>
          </w:p>
        </w:tc>
        <w:tc>
          <w:tcPr>
            <w:tcW w:type="dxa" w:w="303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666666"/>
                <w:sz w:val="21"/>
                <w:szCs w:val="21"/>
              </w:rPr>
              <w:t xml:space="preserve">[  ]</w:t>
            </w:r>
          </w:p>
        </w:tc>
        <w:tc>
          <w:tcPr>
            <w:tcW w:type="dxa" w:w="303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666666"/>
                <w:sz w:val="21"/>
                <w:szCs w:val="21"/>
              </w:rPr>
              <w:t xml:space="preserve"/>
            </w:r>
          </w:p>
        </w:tc>
      </w:tr>
      <w:tr>
        <w:tc>
          <w:tcPr>
            <w:tcW w:type="dxa" w:w="33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1"/>
                <w:szCs w:val="21"/>
              </w:rPr>
              <w:t xml:space="preserve">Typical data types</w:t>
            </w:r>
          </w:p>
        </w:tc>
        <w:tc>
          <w:tcPr>
            <w:tcW w:type="dxa" w:w="303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666666"/>
                <w:sz w:val="21"/>
                <w:szCs w:val="21"/>
              </w:rPr>
              <w:t xml:space="preserve">[email, M365, chat, mobile, file shares]</w:t>
            </w:r>
          </w:p>
        </w:tc>
        <w:tc>
          <w:tcPr>
            <w:tcW w:type="dxa" w:w="303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666666"/>
                <w:sz w:val="21"/>
                <w:szCs w:val="21"/>
              </w:rPr>
              <w:t xml:space="preserve"/>
            </w:r>
          </w:p>
        </w:tc>
      </w:tr>
      <w:tr>
        <w:tc>
          <w:tcPr>
            <w:tcW w:type="dxa" w:w="33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1"/>
                <w:szCs w:val="21"/>
              </w:rPr>
              <w:t xml:space="preserve">Average custodians per matter</w:t>
            </w:r>
          </w:p>
        </w:tc>
        <w:tc>
          <w:tcPr>
            <w:tcW w:type="dxa" w:w="303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666666"/>
                <w:sz w:val="21"/>
                <w:szCs w:val="21"/>
              </w:rPr>
              <w:t xml:space="preserve">[  ]</w:t>
            </w:r>
          </w:p>
        </w:tc>
        <w:tc>
          <w:tcPr>
            <w:tcW w:type="dxa" w:w="303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666666"/>
                <w:sz w:val="21"/>
                <w:szCs w:val="21"/>
              </w:rPr>
              <w:t xml:space="preserve"/>
            </w:r>
          </w:p>
        </w:tc>
      </w:tr>
      <w:tr>
        <w:tc>
          <w:tcPr>
            <w:tcW w:type="dxa" w:w="33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1"/>
                <w:szCs w:val="21"/>
              </w:rPr>
              <w:t xml:space="preserve">Concurrent active matters (typical / peak)</w:t>
            </w:r>
          </w:p>
        </w:tc>
        <w:tc>
          <w:tcPr>
            <w:tcW w:type="dxa" w:w="303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666666"/>
                <w:sz w:val="21"/>
                <w:szCs w:val="21"/>
              </w:rPr>
              <w:t xml:space="preserve">[  ]</w:t>
            </w:r>
          </w:p>
        </w:tc>
        <w:tc>
          <w:tcPr>
            <w:tcW w:type="dxa" w:w="303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666666"/>
                <w:sz w:val="21"/>
                <w:szCs w:val="21"/>
              </w:rPr>
              <w:t xml:space="preserve"/>
            </w:r>
          </w:p>
        </w:tc>
      </w:tr>
      <w:tr>
        <w:tc>
          <w:tcPr>
            <w:tcW w:type="dxa" w:w="33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1"/>
                <w:szCs w:val="21"/>
              </w:rPr>
              <w:t xml:space="preserve">Named users needing platform access</w:t>
            </w:r>
          </w:p>
        </w:tc>
        <w:tc>
          <w:tcPr>
            <w:tcW w:type="dxa" w:w="303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666666"/>
                <w:sz w:val="21"/>
                <w:szCs w:val="21"/>
              </w:rPr>
              <w:t xml:space="preserve">[reviewers, admins, outside counsel]</w:t>
            </w:r>
          </w:p>
        </w:tc>
        <w:tc>
          <w:tcPr>
            <w:tcW w:type="dxa" w:w="303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666666"/>
                <w:sz w:val="21"/>
                <w:szCs w:val="21"/>
              </w:rPr>
              <w:t xml:space="preserve"/>
            </w:r>
          </w:p>
        </w:tc>
      </w:tr>
      <w:tr>
        <w:tc>
          <w:tcPr>
            <w:tcW w:type="dxa" w:w="33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1"/>
                <w:szCs w:val="21"/>
              </w:rPr>
              <w:t xml:space="preserve">Current platform(s) / tools in use</w:t>
            </w:r>
          </w:p>
        </w:tc>
        <w:tc>
          <w:tcPr>
            <w:tcW w:type="dxa" w:w="303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666666"/>
                <w:sz w:val="21"/>
                <w:szCs w:val="21"/>
              </w:rPr>
              <w:t xml:space="preserve">[  ]</w:t>
            </w:r>
          </w:p>
        </w:tc>
        <w:tc>
          <w:tcPr>
            <w:tcW w:type="dxa" w:w="303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666666"/>
                <w:sz w:val="21"/>
                <w:szCs w:val="21"/>
              </w:rPr>
              <w:t xml:space="preserve">Relevant to migration (Q29)</w:t>
            </w:r>
          </w:p>
        </w:tc>
      </w:tr>
      <w:tr>
        <w:tc>
          <w:tcPr>
            <w:tcW w:type="dxa" w:w="33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1"/>
                <w:szCs w:val="21"/>
              </w:rPr>
              <w:t xml:space="preserve">Deployment constraints</w:t>
            </w:r>
          </w:p>
        </w:tc>
        <w:tc>
          <w:tcPr>
            <w:tcW w:type="dxa" w:w="303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666666"/>
                <w:sz w:val="21"/>
                <w:szCs w:val="21"/>
              </w:rPr>
              <w:t xml:space="preserve">[cloud permitted / on-prem required / hybrid]</w:t>
            </w:r>
          </w:p>
        </w:tc>
        <w:tc>
          <w:tcPr>
            <w:tcW w:type="dxa" w:w="303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666666"/>
                <w:sz w:val="21"/>
                <w:szCs w:val="21"/>
              </w:rPr>
              <w:t xml:space="preserve">Relevant to Section 1</w:t>
            </w:r>
          </w:p>
        </w:tc>
      </w:tr>
      <w:tr>
        <w:tc>
          <w:tcPr>
            <w:tcW w:type="dxa" w:w="33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1"/>
                <w:szCs w:val="21"/>
              </w:rPr>
              <w:t xml:space="preserve">Data residency requirements</w:t>
            </w:r>
          </w:p>
        </w:tc>
        <w:tc>
          <w:tcPr>
            <w:tcW w:type="dxa" w:w="303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666666"/>
                <w:sz w:val="21"/>
                <w:szCs w:val="21"/>
              </w:rPr>
              <w:t xml:space="preserve">[  ]</w:t>
            </w:r>
          </w:p>
        </w:tc>
        <w:tc>
          <w:tcPr>
            <w:tcW w:type="dxa" w:w="303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666666"/>
                <w:sz w:val="21"/>
                <w:szCs w:val="21"/>
              </w:rPr>
              <w:t xml:space="preserve"/>
            </w:r>
          </w:p>
        </w:tc>
      </w:tr>
      <w:tr>
        <w:tc>
          <w:tcPr>
            <w:tcW w:type="dxa" w:w="33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1"/>
                <w:szCs w:val="21"/>
              </w:rPr>
              <w:t xml:space="preserve">Required certifications or frameworks</w:t>
            </w:r>
          </w:p>
        </w:tc>
        <w:tc>
          <w:tcPr>
            <w:tcW w:type="dxa" w:w="303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666666"/>
                <w:sz w:val="21"/>
                <w:szCs w:val="21"/>
              </w:rPr>
              <w:t xml:space="preserve">[  ]</w:t>
            </w:r>
          </w:p>
        </w:tc>
        <w:tc>
          <w:tcPr>
            <w:tcW w:type="dxa" w:w="303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666666"/>
                <w:sz w:val="21"/>
                <w:szCs w:val="21"/>
              </w:rPr>
              <w:t xml:space="preserve">Relevant to Q20</w:t>
            </w:r>
          </w:p>
        </w:tc>
      </w:tr>
      <w:tr>
        <w:tc>
          <w:tcPr>
            <w:tcW w:type="dxa" w:w="33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1"/>
                <w:szCs w:val="21"/>
              </w:rPr>
              <w:t xml:space="preserve">Target contract start date</w:t>
            </w:r>
          </w:p>
        </w:tc>
        <w:tc>
          <w:tcPr>
            <w:tcW w:type="dxa" w:w="303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666666"/>
                <w:sz w:val="21"/>
                <w:szCs w:val="21"/>
              </w:rPr>
              <w:t xml:space="preserve">[  ]</w:t>
            </w:r>
          </w:p>
        </w:tc>
        <w:tc>
          <w:tcPr>
            <w:tcW w:type="dxa" w:w="303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666666"/>
                <w:sz w:val="21"/>
                <w:szCs w:val="21"/>
              </w:rPr>
              <w:t xml:space="preserve"/>
            </w:r>
          </w:p>
        </w:tc>
      </w:tr>
    </w:tbl>
    <w:p>
      <w:pPr>
        <w:spacing w:after="160" w:before="0"/>
      </w:pPr>
      <w:r>
        <w:rPr>
          <w:rFonts w:ascii="Calibri" w:cs="Calibri" w:eastAsia="Calibri" w:hAnsi="Calibri"/>
          <w:b w:val="false"/>
          <w:bCs w:val="false"/>
          <w:i w:val="false"/>
          <w:iCs w:val="false"/>
          <w:color w:val="2E2E2E"/>
          <w:sz w:val="22"/>
          <w:szCs w:val="22"/>
        </w:rPr>
        <w:t xml:space="preserve"/>
      </w:r>
    </w:p>
    <w:p>
      <w:pPr>
        <w:pStyle w:val="Heading1"/>
        <w:spacing w:after="200" w:before="360"/>
      </w:pPr>
      <w:r>
        <w:rPr>
          <w:rFonts w:ascii="Calibri" w:cs="Calibri" w:eastAsia="Calibri" w:hAnsi="Calibri"/>
          <w:b/>
          <w:bCs/>
          <w:color w:val="0B1C3F"/>
          <w:sz w:val="32"/>
          <w:szCs w:val="32"/>
        </w:rPr>
        <w:t xml:space="preserve">3. Section 1 — Deployment and Architecture</w:t>
      </w:r>
    </w:p>
    <w:p>
      <w:pPr>
        <w:spacing w:after="120" w:before="0"/>
      </w:pPr>
      <w:r>
        <w:rPr>
          <w:rFonts w:ascii="Calibri" w:cs="Calibri" w:eastAsia="Calibri" w:hAnsi="Calibri"/>
          <w:b/>
          <w:bCs/>
          <w:i w:val="false"/>
          <w:iCs w:val="false"/>
          <w:color w:val="3BC47D"/>
          <w:sz w:val="20"/>
          <w:szCs w:val="20"/>
        </w:rPr>
        <w:t xml:space="preserve">Suggested evaluation weight: 20%</w:t>
      </w:r>
    </w:p>
    <w:p>
      <w:pPr>
        <w:spacing w:after="160" w:before="0"/>
      </w:pPr>
      <w:r>
        <w:rPr>
          <w:rFonts w:ascii="Calibri" w:cs="Calibri" w:eastAsia="Calibri" w:hAnsi="Calibri"/>
          <w:b w:val="false"/>
          <w:bCs w:val="false"/>
          <w:i w:val="false"/>
          <w:iCs w:val="false"/>
          <w:color w:val="2E2E2E"/>
          <w:sz w:val="22"/>
          <w:szCs w:val="22"/>
        </w:rPr>
        <w:t xml:space="preserve">Deployment is the criterion that eliminates the most platforms fastest. These questions establish where the platform can run, where our data lives, and how much control we retain.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00"/>
        <w:gridCol w:w="8560"/>
      </w:tblGrid>
      <w:tr>
        <w:trPr>
          <w:tblHeader/>
        </w:trPr>
        <w:tc>
          <w:tcPr>
            <w:tcW w:type="dxa" w:w="800"/>
            <w:tcBorders>
              <w:top w:val="single" w:color="E0E2EB" w:sz="4"/>
              <w:left w:val="single" w:color="E0E2EB" w:sz="4"/>
              <w:bottom w:val="single" w:color="E0E2EB" w:sz="4"/>
              <w:right w:val="single" w:color="E0E2EB" w:sz="4"/>
            </w:tcBorders>
            <w:shd w:fill="0B1C3F" w:color="auto" w:val="clear"/>
            <w:tcMar>
              <w:top w:type="dxa" w:w="100"/>
              <w:left w:type="dxa" w:w="140"/>
              <w:bottom w:type="dxa" w:w="100"/>
              <w:right w:type="dxa" w:w="140"/>
            </w:tcMar>
          </w:tcPr>
          <w:p>
            <w:pPr>
              <w:spacing w:after="0"/>
            </w:pPr>
            <w:r>
              <w:rPr>
                <w:rFonts w:ascii="Calibri" w:cs="Calibri" w:eastAsia="Calibri" w:hAnsi="Calibri"/>
                <w:b/>
                <w:bCs/>
                <w:color w:val="FFFFFF"/>
                <w:sz w:val="21"/>
                <w:szCs w:val="21"/>
              </w:rPr>
              <w:t xml:space="preserve">#</w:t>
            </w:r>
          </w:p>
        </w:tc>
        <w:tc>
          <w:tcPr>
            <w:tcW w:type="dxa" w:w="8560"/>
            <w:tcBorders>
              <w:top w:val="single" w:color="E0E2EB" w:sz="4"/>
              <w:left w:val="single" w:color="E0E2EB" w:sz="4"/>
              <w:bottom w:val="single" w:color="E0E2EB" w:sz="4"/>
              <w:right w:val="single" w:color="E0E2EB" w:sz="4"/>
            </w:tcBorders>
            <w:shd w:fill="0B1C3F" w:color="auto" w:val="clear"/>
            <w:tcMar>
              <w:top w:type="dxa" w:w="100"/>
              <w:left w:type="dxa" w:w="140"/>
              <w:bottom w:type="dxa" w:w="100"/>
              <w:right w:type="dxa" w:w="140"/>
            </w:tcMar>
          </w:tcPr>
          <w:p>
            <w:pPr>
              <w:spacing w:after="0"/>
            </w:pPr>
            <w:r>
              <w:rPr>
                <w:rFonts w:ascii="Calibri" w:cs="Calibri" w:eastAsia="Calibri" w:hAnsi="Calibri"/>
                <w:b/>
                <w:bCs/>
                <w:color w:val="FFFFFF"/>
                <w:sz w:val="21"/>
                <w:szCs w:val="21"/>
              </w:rPr>
              <w:t xml:space="preserve">Question</w:t>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Q1</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80"/>
            </w:pPr>
            <w:r>
              <w:rPr>
                <w:rFonts w:ascii="Calibri" w:cs="Calibri" w:eastAsia="Calibri" w:hAnsi="Calibri"/>
                <w:b/>
                <w:bCs/>
                <w:i w:val="false"/>
                <w:iCs w:val="false"/>
                <w:color w:val="2E2E2E"/>
                <w:sz w:val="22"/>
                <w:szCs w:val="22"/>
              </w:rPr>
              <w:t xml:space="preserve">Which deployment models do you offer — cloud, on-premises, hybrid — and is the platform functionally identical in each? Identify any feature, module, or AI capability not available in every model.</w:t>
            </w:r>
          </w:p>
          <w:p>
            <w:pPr>
              <w:spacing w:after="0"/>
            </w:pPr>
            <w:r>
              <w:rPr>
                <w:rFonts w:ascii="Calibri" w:cs="Calibri" w:eastAsia="Calibri" w:hAnsi="Calibri"/>
                <w:b w:val="false"/>
                <w:bCs w:val="false"/>
                <w:i/>
                <w:iCs/>
                <w:color w:val="666666"/>
                <w:sz w:val="19"/>
                <w:szCs w:val="19"/>
              </w:rPr>
              <w:t xml:space="preserve">☐ Mark as MANDATORY (pass/fail) for our organization</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Q2</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80"/>
            </w:pPr>
            <w:r>
              <w:rPr>
                <w:rFonts w:ascii="Calibri" w:cs="Calibri" w:eastAsia="Calibri" w:hAnsi="Calibri"/>
                <w:b/>
                <w:bCs/>
                <w:i w:val="false"/>
                <w:iCs w:val="false"/>
                <w:color w:val="2E2E2E"/>
                <w:sz w:val="22"/>
                <w:szCs w:val="22"/>
              </w:rPr>
              <w:t xml:space="preserve">Where is our data physically stored? Can we choose the region or infrastructure, and what is the process (and cost) if our data-residency requirements change mid-contract?</w:t>
            </w:r>
          </w:p>
          <w:p>
            <w:pPr>
              <w:spacing w:after="0"/>
            </w:pPr>
            <w:r>
              <w:rPr>
                <w:rFonts w:ascii="Calibri" w:cs="Calibri" w:eastAsia="Calibri" w:hAnsi="Calibri"/>
                <w:b w:val="false"/>
                <w:bCs w:val="false"/>
                <w:i/>
                <w:iCs/>
                <w:color w:val="666666"/>
                <w:sz w:val="19"/>
                <w:szCs w:val="19"/>
              </w:rPr>
              <w:t xml:space="preserve">☐ Mark as MANDATORY (pass/fail) for our organization</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Q3</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2"/>
                <w:szCs w:val="22"/>
              </w:rPr>
              <w:t xml:space="preserve">If a client or regulator requires data to remain in our environment, describe exactly how you support that. Is it a standard offering with reference customers, or an exception process?</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Q4</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2"/>
                <w:szCs w:val="22"/>
              </w:rPr>
              <w:t xml:space="preserve">How are upgrades and patches delivered in each deployment model, and who controls the timing? Can we defer an upgrade during an active matter?</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Q5</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2"/>
                <w:szCs w:val="22"/>
              </w:rPr>
              <w:t xml:space="preserve">What infrastructure, third-party licensing, and staffing prerequisites does each deployment model require from us? Quantify where possible.</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bl>
    <w:p>
      <w:pPr>
        <w:spacing w:after="160" w:before="0"/>
      </w:pPr>
      <w:r>
        <w:rPr>
          <w:rFonts w:ascii="Calibri" w:cs="Calibri" w:eastAsia="Calibri" w:hAnsi="Calibri"/>
          <w:b w:val="false"/>
          <w:bCs w:val="false"/>
          <w:i w:val="false"/>
          <w:iCs w:val="false"/>
          <w:color w:val="2E2E2E"/>
          <w:sz w:val="22"/>
          <w:szCs w:val="22"/>
        </w:rPr>
        <w:t xml:space="preserve"/>
      </w:r>
    </w:p>
    <w:p>
      <w:pPr>
        <w:pStyle w:val="Heading1"/>
        <w:spacing w:after="200" w:before="360"/>
      </w:pPr>
      <w:r>
        <w:rPr>
          <w:rFonts w:ascii="Calibri" w:cs="Calibri" w:eastAsia="Calibri" w:hAnsi="Calibri"/>
          <w:b/>
          <w:bCs/>
          <w:color w:val="0B1C3F"/>
          <w:sz w:val="32"/>
          <w:szCs w:val="32"/>
        </w:rPr>
        <w:t xml:space="preserve">4. Section 2 — Workflow Coverage: Legal Hold to Production</w:t>
      </w:r>
    </w:p>
    <w:p>
      <w:pPr>
        <w:spacing w:after="120" w:before="0"/>
      </w:pPr>
      <w:r>
        <w:rPr>
          <w:rFonts w:ascii="Calibri" w:cs="Calibri" w:eastAsia="Calibri" w:hAnsi="Calibri"/>
          <w:b/>
          <w:bCs/>
          <w:i w:val="false"/>
          <w:iCs w:val="false"/>
          <w:color w:val="3BC47D"/>
          <w:sz w:val="20"/>
          <w:szCs w:val="20"/>
        </w:rPr>
        <w:t xml:space="preserve">Suggested evaluation weight: 25%</w:t>
      </w:r>
    </w:p>
    <w:p>
      <w:pPr>
        <w:spacing w:after="160" w:before="0"/>
      </w:pPr>
      <w:r>
        <w:rPr>
          <w:rFonts w:ascii="Calibri" w:cs="Calibri" w:eastAsia="Calibri" w:hAnsi="Calibri"/>
          <w:b w:val="false"/>
          <w:bCs w:val="false"/>
          <w:i w:val="false"/>
          <w:iCs w:val="false"/>
          <w:color w:val="2E2E2E"/>
          <w:sz w:val="22"/>
          <w:szCs w:val="22"/>
        </w:rPr>
        <w:t xml:space="preserve">These questions establish which stages of the EDRM the platform covers natively and — critically — where data must move between systems. In your answers, identify every point where data leaves one system for another.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00"/>
        <w:gridCol w:w="8560"/>
      </w:tblGrid>
      <w:tr>
        <w:trPr>
          <w:tblHeader/>
        </w:trPr>
        <w:tc>
          <w:tcPr>
            <w:tcW w:type="dxa" w:w="800"/>
            <w:tcBorders>
              <w:top w:val="single" w:color="E0E2EB" w:sz="4"/>
              <w:left w:val="single" w:color="E0E2EB" w:sz="4"/>
              <w:bottom w:val="single" w:color="E0E2EB" w:sz="4"/>
              <w:right w:val="single" w:color="E0E2EB" w:sz="4"/>
            </w:tcBorders>
            <w:shd w:fill="0B1C3F" w:color="auto" w:val="clear"/>
            <w:tcMar>
              <w:top w:type="dxa" w:w="100"/>
              <w:left w:type="dxa" w:w="140"/>
              <w:bottom w:type="dxa" w:w="100"/>
              <w:right w:type="dxa" w:w="140"/>
            </w:tcMar>
          </w:tcPr>
          <w:p>
            <w:pPr>
              <w:spacing w:after="0"/>
            </w:pPr>
            <w:r>
              <w:rPr>
                <w:rFonts w:ascii="Calibri" w:cs="Calibri" w:eastAsia="Calibri" w:hAnsi="Calibri"/>
                <w:b/>
                <w:bCs/>
                <w:color w:val="FFFFFF"/>
                <w:sz w:val="21"/>
                <w:szCs w:val="21"/>
              </w:rPr>
              <w:t xml:space="preserve">#</w:t>
            </w:r>
          </w:p>
        </w:tc>
        <w:tc>
          <w:tcPr>
            <w:tcW w:type="dxa" w:w="8560"/>
            <w:tcBorders>
              <w:top w:val="single" w:color="E0E2EB" w:sz="4"/>
              <w:left w:val="single" w:color="E0E2EB" w:sz="4"/>
              <w:bottom w:val="single" w:color="E0E2EB" w:sz="4"/>
              <w:right w:val="single" w:color="E0E2EB" w:sz="4"/>
            </w:tcBorders>
            <w:shd w:fill="0B1C3F" w:color="auto" w:val="clear"/>
            <w:tcMar>
              <w:top w:type="dxa" w:w="100"/>
              <w:left w:type="dxa" w:w="140"/>
              <w:bottom w:type="dxa" w:w="100"/>
              <w:right w:type="dxa" w:w="140"/>
            </w:tcMar>
          </w:tcPr>
          <w:p>
            <w:pPr>
              <w:spacing w:after="0"/>
            </w:pPr>
            <w:r>
              <w:rPr>
                <w:rFonts w:ascii="Calibri" w:cs="Calibri" w:eastAsia="Calibri" w:hAnsi="Calibri"/>
                <w:b/>
                <w:bCs/>
                <w:color w:val="FFFFFF"/>
                <w:sz w:val="21"/>
                <w:szCs w:val="21"/>
              </w:rPr>
              <w:t xml:space="preserve">Question</w:t>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Q6</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2"/>
                <w:szCs w:val="22"/>
              </w:rPr>
              <w:t xml:space="preserve">Which stages of the EDRM does your platform cover natively — legal hold, collection, processing, early case assessment, review, analysis, production — and which require third-party tools or separately priced modules? List every step where data physically moves between systems.</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Q7</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2"/>
                <w:szCs w:val="22"/>
              </w:rPr>
              <w:t xml:space="preserve">Describe your legal hold workflow: notice issuance, reminders and escalations, custodian acknowledgment tracking, and defensible release. Does hold data flow directly into collection?</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Q8</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2"/>
                <w:szCs w:val="22"/>
              </w:rPr>
              <w:t xml:space="preserve">Which data sources can you collect from natively (M365, Google Workspace, Slack, Teams chat, mobile, file shares, forensic images)? How are modern chat and collaboration formats rendered for review?</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Q9</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2"/>
                <w:szCs w:val="22"/>
              </w:rPr>
              <w:t xml:space="preserve">Describe your processing engine: supported file types, typical throughput, deNISTing, deduplication scope (per-custodian vs. global), and how processing exceptions are surfaced and resolved.</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Q10</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2"/>
                <w:szCs w:val="22"/>
              </w:rPr>
              <w:t xml:space="preserve">Can we run early case assessment — filtering, search-term testing, concept analysis — before promoting data to review, in the same system, without re-processing or re-hosting the data?</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Q11</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2"/>
                <w:szCs w:val="22"/>
              </w:rPr>
              <w:t xml:space="preserve">Describe the review environment: batching, coding layouts, privilege workflows, redaction (including native-file, spreadsheet, and chat redaction), and QC sampling.</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Q12</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2"/>
                <w:szCs w:val="22"/>
              </w:rPr>
              <w:t xml:space="preserve">Describe production capabilities: supported formats, Bates numbering, privilege log generation, and how re-productions, supplemental productions, and clawbacks are handled.</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Q13</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2"/>
                <w:szCs w:val="22"/>
              </w:rPr>
              <w:t xml:space="preserve">For any workflow stage that involves a handoff — between your own modules or to another tool — how is chain of custody documented across the boundary? Is that documentation automatic or manual?</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bl>
    <w:p>
      <w:pPr>
        <w:spacing w:after="160" w:before="0"/>
      </w:pPr>
      <w:r>
        <w:rPr>
          <w:rFonts w:ascii="Calibri" w:cs="Calibri" w:eastAsia="Calibri" w:hAnsi="Calibri"/>
          <w:b w:val="false"/>
          <w:bCs w:val="false"/>
          <w:i w:val="false"/>
          <w:iCs w:val="false"/>
          <w:color w:val="2E2E2E"/>
          <w:sz w:val="22"/>
          <w:szCs w:val="22"/>
        </w:rPr>
        <w:t xml:space="preserve"/>
      </w:r>
    </w:p>
    <w:p>
      <w:pPr>
        <w:pStyle w:val="Heading1"/>
        <w:spacing w:after="200" w:before="360"/>
      </w:pPr>
      <w:r>
        <w:rPr>
          <w:rFonts w:ascii="Calibri" w:cs="Calibri" w:eastAsia="Calibri" w:hAnsi="Calibri"/>
          <w:b/>
          <w:bCs/>
          <w:color w:val="0B1C3F"/>
          <w:sz w:val="32"/>
          <w:szCs w:val="32"/>
        </w:rPr>
        <w:t xml:space="preserve">5. Section 3 — AI and Analytics Capabilities</w:t>
      </w:r>
    </w:p>
    <w:p>
      <w:pPr>
        <w:spacing w:after="120" w:before="0"/>
      </w:pPr>
      <w:r>
        <w:rPr>
          <w:rFonts w:ascii="Calibri" w:cs="Calibri" w:eastAsia="Calibri" w:hAnsi="Calibri"/>
          <w:b/>
          <w:bCs/>
          <w:i w:val="false"/>
          <w:iCs w:val="false"/>
          <w:color w:val="3BC47D"/>
          <w:sz w:val="20"/>
          <w:szCs w:val="20"/>
        </w:rPr>
        <w:t xml:space="preserve">Suggested evaluation weight: 15%</w:t>
      </w:r>
    </w:p>
    <w:p>
      <w:pPr>
        <w:spacing w:after="160" w:before="0"/>
      </w:pPr>
      <w:r>
        <w:rPr>
          <w:rFonts w:ascii="Calibri" w:cs="Calibri" w:eastAsia="Calibri" w:hAnsi="Calibri"/>
          <w:b w:val="false"/>
          <w:bCs w:val="false"/>
          <w:i w:val="false"/>
          <w:iCs w:val="false"/>
          <w:color w:val="2E2E2E"/>
          <w:sz w:val="22"/>
          <w:szCs w:val="22"/>
        </w:rPr>
        <w:t xml:space="preserve">These questions distinguish AI that is integrated into the platform from AI that is bolted on — and establish how our data is handled, how humans stay in control, and what AI actually costs.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00"/>
        <w:gridCol w:w="8560"/>
      </w:tblGrid>
      <w:tr>
        <w:trPr>
          <w:tblHeader/>
        </w:trPr>
        <w:tc>
          <w:tcPr>
            <w:tcW w:type="dxa" w:w="800"/>
            <w:tcBorders>
              <w:top w:val="single" w:color="E0E2EB" w:sz="4"/>
              <w:left w:val="single" w:color="E0E2EB" w:sz="4"/>
              <w:bottom w:val="single" w:color="E0E2EB" w:sz="4"/>
              <w:right w:val="single" w:color="E0E2EB" w:sz="4"/>
            </w:tcBorders>
            <w:shd w:fill="0B1C3F" w:color="auto" w:val="clear"/>
            <w:tcMar>
              <w:top w:type="dxa" w:w="100"/>
              <w:left w:type="dxa" w:w="140"/>
              <w:bottom w:type="dxa" w:w="100"/>
              <w:right w:type="dxa" w:w="140"/>
            </w:tcMar>
          </w:tcPr>
          <w:p>
            <w:pPr>
              <w:spacing w:after="0"/>
            </w:pPr>
            <w:r>
              <w:rPr>
                <w:rFonts w:ascii="Calibri" w:cs="Calibri" w:eastAsia="Calibri" w:hAnsi="Calibri"/>
                <w:b/>
                <w:bCs/>
                <w:color w:val="FFFFFF"/>
                <w:sz w:val="21"/>
                <w:szCs w:val="21"/>
              </w:rPr>
              <w:t xml:space="preserve">#</w:t>
            </w:r>
          </w:p>
        </w:tc>
        <w:tc>
          <w:tcPr>
            <w:tcW w:type="dxa" w:w="8560"/>
            <w:tcBorders>
              <w:top w:val="single" w:color="E0E2EB" w:sz="4"/>
              <w:left w:val="single" w:color="E0E2EB" w:sz="4"/>
              <w:bottom w:val="single" w:color="E0E2EB" w:sz="4"/>
              <w:right w:val="single" w:color="E0E2EB" w:sz="4"/>
            </w:tcBorders>
            <w:shd w:fill="0B1C3F" w:color="auto" w:val="clear"/>
            <w:tcMar>
              <w:top w:type="dxa" w:w="100"/>
              <w:left w:type="dxa" w:w="140"/>
              <w:bottom w:type="dxa" w:w="100"/>
              <w:right w:type="dxa" w:w="140"/>
            </w:tcMar>
          </w:tcPr>
          <w:p>
            <w:pPr>
              <w:spacing w:after="0"/>
            </w:pPr>
            <w:r>
              <w:rPr>
                <w:rFonts w:ascii="Calibri" w:cs="Calibri" w:eastAsia="Calibri" w:hAnsi="Calibri"/>
                <w:b/>
                <w:bCs/>
                <w:color w:val="FFFFFF"/>
                <w:sz w:val="21"/>
                <w:szCs w:val="21"/>
              </w:rPr>
              <w:t xml:space="preserve">Question</w:t>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Q14</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80"/>
            </w:pPr>
            <w:r>
              <w:rPr>
                <w:rFonts w:ascii="Calibri" w:cs="Calibri" w:eastAsia="Calibri" w:hAnsi="Calibri"/>
                <w:b/>
                <w:bCs/>
                <w:i w:val="false"/>
                <w:iCs w:val="false"/>
                <w:color w:val="2E2E2E"/>
                <w:sz w:val="22"/>
                <w:szCs w:val="22"/>
              </w:rPr>
              <w:t xml:space="preserve">Which AI capabilities are native to the platform, and which rely on third-party services? For each capability, state whether our data leaves the platform environment to be processed.</w:t>
            </w:r>
          </w:p>
          <w:p>
            <w:pPr>
              <w:spacing w:after="0"/>
            </w:pPr>
            <w:r>
              <w:rPr>
                <w:rFonts w:ascii="Calibri" w:cs="Calibri" w:eastAsia="Calibri" w:hAnsi="Calibri"/>
                <w:b w:val="false"/>
                <w:bCs w:val="false"/>
                <w:i/>
                <w:iCs/>
                <w:color w:val="666666"/>
                <w:sz w:val="19"/>
                <w:szCs w:val="19"/>
              </w:rPr>
              <w:t xml:space="preserve">☐ Mark as MANDATORY (pass/fail) for our organization</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Q15</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2"/>
                <w:szCs w:val="22"/>
              </w:rPr>
              <w:t xml:space="preserve">Which technology-assisted review workflows do you support (TAR 1.0, TAR 2.0 / continuous active learning), and what statistical validation documentation (recall estimation, elusion testing) do you provide to support defensibility?</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Q16</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80"/>
            </w:pPr>
            <w:r>
              <w:rPr>
                <w:rFonts w:ascii="Calibri" w:cs="Calibri" w:eastAsia="Calibri" w:hAnsi="Calibri"/>
                <w:b/>
                <w:bCs/>
                <w:i w:val="false"/>
                <w:iCs w:val="false"/>
                <w:color w:val="2E2E2E"/>
                <w:sz w:val="22"/>
                <w:szCs w:val="22"/>
              </w:rPr>
              <w:t xml:space="preserve">For generative AI features: which models are used, where are they hosted, and is our data used to train or improve any model? Provide your written commitment on training use.</w:t>
            </w:r>
          </w:p>
          <w:p>
            <w:pPr>
              <w:spacing w:after="0"/>
            </w:pPr>
            <w:r>
              <w:rPr>
                <w:rFonts w:ascii="Calibri" w:cs="Calibri" w:eastAsia="Calibri" w:hAnsi="Calibri"/>
                <w:b w:val="false"/>
                <w:bCs w:val="false"/>
                <w:i/>
                <w:iCs/>
                <w:color w:val="666666"/>
                <w:sz w:val="19"/>
                <w:szCs w:val="19"/>
              </w:rPr>
              <w:t xml:space="preserve">☐ Mark as MANDATORY (pass/fail) for our organization</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Q17</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2"/>
                <w:szCs w:val="22"/>
              </w:rPr>
              <w:t xml:space="preserve">How do reviewers validate, correct, and override AI suggestions? Do human decisions always take precedence, and where is that visible in the product?</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Q18</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2"/>
                <w:szCs w:val="22"/>
              </w:rPr>
              <w:t xml:space="preserve">How are AI-assisted decisions logged and audited? Can we export a complete matter-level record of what the AI did and what humans changed, without vendor assistance?</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Q19</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2"/>
                <w:szCs w:val="22"/>
              </w:rPr>
              <w:t xml:space="preserve">How are AI features priced — included in the platform or metered separately? Using our Matter Profile, itemize what the AI-related charges would have been for a typical matter.</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bl>
    <w:p>
      <w:pPr>
        <w:spacing w:after="160" w:before="0"/>
      </w:pPr>
      <w:r>
        <w:rPr>
          <w:rFonts w:ascii="Calibri" w:cs="Calibri" w:eastAsia="Calibri" w:hAnsi="Calibri"/>
          <w:b w:val="false"/>
          <w:bCs w:val="false"/>
          <w:i w:val="false"/>
          <w:iCs w:val="false"/>
          <w:color w:val="2E2E2E"/>
          <w:sz w:val="22"/>
          <w:szCs w:val="22"/>
        </w:rPr>
        <w:t xml:space="preserve"/>
      </w:r>
    </w:p>
    <w:p>
      <w:pPr>
        <w:pStyle w:val="Heading1"/>
        <w:spacing w:after="200" w:before="360"/>
      </w:pPr>
      <w:r>
        <w:rPr>
          <w:rFonts w:ascii="Calibri" w:cs="Calibri" w:eastAsia="Calibri" w:hAnsi="Calibri"/>
          <w:b/>
          <w:bCs/>
          <w:color w:val="0B1C3F"/>
          <w:sz w:val="32"/>
          <w:szCs w:val="32"/>
        </w:rPr>
        <w:t xml:space="preserve">6. Section 4 — Security, Access Control, and Data Governance</w:t>
      </w:r>
    </w:p>
    <w:p>
      <w:pPr>
        <w:spacing w:after="120" w:before="0"/>
      </w:pPr>
      <w:r>
        <w:rPr>
          <w:rFonts w:ascii="Calibri" w:cs="Calibri" w:eastAsia="Calibri" w:hAnsi="Calibri"/>
          <w:b/>
          <w:bCs/>
          <w:i w:val="false"/>
          <w:iCs w:val="false"/>
          <w:color w:val="3BC47D"/>
          <w:sz w:val="20"/>
          <w:szCs w:val="20"/>
        </w:rPr>
        <w:t xml:space="preserve">Suggested evaluation weight: 15%</w:t>
      </w:r>
    </w:p>
    <w:p>
      <w:pPr>
        <w:spacing w:after="160" w:before="0"/>
      </w:pPr>
      <w:r>
        <w:rPr>
          <w:rFonts w:ascii="Calibri" w:cs="Calibri" w:eastAsia="Calibri" w:hAnsi="Calibri"/>
          <w:b w:val="false"/>
          <w:bCs w:val="false"/>
          <w:i w:val="false"/>
          <w:iCs w:val="false"/>
          <w:color w:val="2E2E2E"/>
          <w:sz w:val="22"/>
          <w:szCs w:val="22"/>
        </w:rPr>
        <w:t xml:space="preserve">Our security team may issue a separate questionnaire; the questions here establish what the legal evaluation requires — including data-return terms at the end of the engagement.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00"/>
        <w:gridCol w:w="8560"/>
      </w:tblGrid>
      <w:tr>
        <w:trPr>
          <w:tblHeader/>
        </w:trPr>
        <w:tc>
          <w:tcPr>
            <w:tcW w:type="dxa" w:w="800"/>
            <w:tcBorders>
              <w:top w:val="single" w:color="E0E2EB" w:sz="4"/>
              <w:left w:val="single" w:color="E0E2EB" w:sz="4"/>
              <w:bottom w:val="single" w:color="E0E2EB" w:sz="4"/>
              <w:right w:val="single" w:color="E0E2EB" w:sz="4"/>
            </w:tcBorders>
            <w:shd w:fill="0B1C3F" w:color="auto" w:val="clear"/>
            <w:tcMar>
              <w:top w:type="dxa" w:w="100"/>
              <w:left w:type="dxa" w:w="140"/>
              <w:bottom w:type="dxa" w:w="100"/>
              <w:right w:type="dxa" w:w="140"/>
            </w:tcMar>
          </w:tcPr>
          <w:p>
            <w:pPr>
              <w:spacing w:after="0"/>
            </w:pPr>
            <w:r>
              <w:rPr>
                <w:rFonts w:ascii="Calibri" w:cs="Calibri" w:eastAsia="Calibri" w:hAnsi="Calibri"/>
                <w:b/>
                <w:bCs/>
                <w:color w:val="FFFFFF"/>
                <w:sz w:val="21"/>
                <w:szCs w:val="21"/>
              </w:rPr>
              <w:t xml:space="preserve">#</w:t>
            </w:r>
          </w:p>
        </w:tc>
        <w:tc>
          <w:tcPr>
            <w:tcW w:type="dxa" w:w="8560"/>
            <w:tcBorders>
              <w:top w:val="single" w:color="E0E2EB" w:sz="4"/>
              <w:left w:val="single" w:color="E0E2EB" w:sz="4"/>
              <w:bottom w:val="single" w:color="E0E2EB" w:sz="4"/>
              <w:right w:val="single" w:color="E0E2EB" w:sz="4"/>
            </w:tcBorders>
            <w:shd w:fill="0B1C3F" w:color="auto" w:val="clear"/>
            <w:tcMar>
              <w:top w:type="dxa" w:w="100"/>
              <w:left w:type="dxa" w:w="140"/>
              <w:bottom w:type="dxa" w:w="100"/>
              <w:right w:type="dxa" w:w="140"/>
            </w:tcMar>
          </w:tcPr>
          <w:p>
            <w:pPr>
              <w:spacing w:after="0"/>
            </w:pPr>
            <w:r>
              <w:rPr>
                <w:rFonts w:ascii="Calibri" w:cs="Calibri" w:eastAsia="Calibri" w:hAnsi="Calibri"/>
                <w:b/>
                <w:bCs/>
                <w:color w:val="FFFFFF"/>
                <w:sz w:val="21"/>
                <w:szCs w:val="21"/>
              </w:rPr>
              <w:t xml:space="preserve">Question</w:t>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Q20</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80"/>
            </w:pPr>
            <w:r>
              <w:rPr>
                <w:rFonts w:ascii="Calibri" w:cs="Calibri" w:eastAsia="Calibri" w:hAnsi="Calibri"/>
                <w:b/>
                <w:bCs/>
                <w:i w:val="false"/>
                <w:iCs w:val="false"/>
                <w:color w:val="2E2E2E"/>
                <w:sz w:val="22"/>
                <w:szCs w:val="22"/>
              </w:rPr>
              <w:t xml:space="preserve">Which security certifications and audit reports do you hold (e.g., SOC 2 Type II, ISO 27001)? Provide current reports under NDA, including report dates and scope.</w:t>
            </w:r>
          </w:p>
          <w:p>
            <w:pPr>
              <w:spacing w:after="0"/>
            </w:pPr>
            <w:r>
              <w:rPr>
                <w:rFonts w:ascii="Calibri" w:cs="Calibri" w:eastAsia="Calibri" w:hAnsi="Calibri"/>
                <w:b w:val="false"/>
                <w:bCs w:val="false"/>
                <w:i/>
                <w:iCs/>
                <w:color w:val="666666"/>
                <w:sz w:val="19"/>
                <w:szCs w:val="19"/>
              </w:rPr>
              <w:t xml:space="preserve">☐ Mark as MANDATORY (pass/fail) for our organization</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Q21</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2"/>
                <w:szCs w:val="22"/>
              </w:rPr>
              <w:t xml:space="preserve">Describe your access-control model: role granularity, matter-level and document-level permissions, SSO/MFA support, and how periodic access reviews are performed. How is outside counsel scoped to a single matter?</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Q22</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2"/>
                <w:szCs w:val="22"/>
              </w:rPr>
              <w:t xml:space="preserve">How is data encrypted at rest and in transit? Who manages the encryption keys, and do you support customer-managed keys?</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Q23</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2"/>
                <w:szCs w:val="22"/>
              </w:rPr>
              <w:t xml:space="preserve">How is data belonging to different matters — or different clients — separated architecturally? Has that separation been independently tested, and can you share the results?</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Q24</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2"/>
                <w:szCs w:val="22"/>
              </w:rPr>
              <w:t xml:space="preserve">Describe your incident response and breach notification commitments (with timeframes). At the end of the engagement, what are the process, timeline, format, and cost for returning our data and certifying its destruction?</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bl>
    <w:p>
      <w:pPr>
        <w:spacing w:after="160" w:before="0"/>
      </w:pPr>
      <w:r>
        <w:rPr>
          <w:rFonts w:ascii="Calibri" w:cs="Calibri" w:eastAsia="Calibri" w:hAnsi="Calibri"/>
          <w:b w:val="false"/>
          <w:bCs w:val="false"/>
          <w:i w:val="false"/>
          <w:iCs w:val="false"/>
          <w:color w:val="2E2E2E"/>
          <w:sz w:val="22"/>
          <w:szCs w:val="22"/>
        </w:rPr>
        <w:t xml:space="preserve"/>
      </w:r>
    </w:p>
    <w:p>
      <w:pPr>
        <w:pStyle w:val="Heading1"/>
        <w:spacing w:after="200" w:before="360"/>
      </w:pPr>
      <w:r>
        <w:rPr>
          <w:rFonts w:ascii="Calibri" w:cs="Calibri" w:eastAsia="Calibri" w:hAnsi="Calibri"/>
          <w:b/>
          <w:bCs/>
          <w:color w:val="0B1C3F"/>
          <w:sz w:val="32"/>
          <w:szCs w:val="32"/>
        </w:rPr>
        <w:t xml:space="preserve">7. Section 5 — Pricing, Licensing, and Total Cost of Ownership</w:t>
      </w:r>
    </w:p>
    <w:p>
      <w:pPr>
        <w:spacing w:after="120" w:before="0"/>
      </w:pPr>
      <w:r>
        <w:rPr>
          <w:rFonts w:ascii="Calibri" w:cs="Calibri" w:eastAsia="Calibri" w:hAnsi="Calibri"/>
          <w:b/>
          <w:bCs/>
          <w:i w:val="false"/>
          <w:iCs w:val="false"/>
          <w:color w:val="3BC47D"/>
          <w:sz w:val="20"/>
          <w:szCs w:val="20"/>
        </w:rPr>
        <w:t xml:space="preserve">Suggested evaluation weight: 15%</w:t>
      </w:r>
    </w:p>
    <w:p>
      <w:pPr>
        <w:spacing w:after="160" w:before="0"/>
      </w:pPr>
      <w:r>
        <w:rPr>
          <w:rFonts w:ascii="Calibri" w:cs="Calibri" w:eastAsia="Calibri" w:hAnsi="Calibri"/>
          <w:b w:val="false"/>
          <w:bCs w:val="false"/>
          <w:i w:val="false"/>
          <w:iCs w:val="false"/>
          <w:color w:val="2E2E2E"/>
          <w:sz w:val="22"/>
          <w:szCs w:val="22"/>
        </w:rPr>
        <w:t xml:space="preserve">Respond using the Matter Profile in Section 2 of this document. The goal of these questions is comparability: every billable unit disclosed, behavior under volume growth specified, and exit costs in writing.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00"/>
        <w:gridCol w:w="8560"/>
      </w:tblGrid>
      <w:tr>
        <w:trPr>
          <w:tblHeader/>
        </w:trPr>
        <w:tc>
          <w:tcPr>
            <w:tcW w:type="dxa" w:w="800"/>
            <w:tcBorders>
              <w:top w:val="single" w:color="E0E2EB" w:sz="4"/>
              <w:left w:val="single" w:color="E0E2EB" w:sz="4"/>
              <w:bottom w:val="single" w:color="E0E2EB" w:sz="4"/>
              <w:right w:val="single" w:color="E0E2EB" w:sz="4"/>
            </w:tcBorders>
            <w:shd w:fill="0B1C3F" w:color="auto" w:val="clear"/>
            <w:tcMar>
              <w:top w:type="dxa" w:w="100"/>
              <w:left w:type="dxa" w:w="140"/>
              <w:bottom w:type="dxa" w:w="100"/>
              <w:right w:type="dxa" w:w="140"/>
            </w:tcMar>
          </w:tcPr>
          <w:p>
            <w:pPr>
              <w:spacing w:after="0"/>
            </w:pPr>
            <w:r>
              <w:rPr>
                <w:rFonts w:ascii="Calibri" w:cs="Calibri" w:eastAsia="Calibri" w:hAnsi="Calibri"/>
                <w:b/>
                <w:bCs/>
                <w:color w:val="FFFFFF"/>
                <w:sz w:val="21"/>
                <w:szCs w:val="21"/>
              </w:rPr>
              <w:t xml:space="preserve">#</w:t>
            </w:r>
          </w:p>
        </w:tc>
        <w:tc>
          <w:tcPr>
            <w:tcW w:type="dxa" w:w="8560"/>
            <w:tcBorders>
              <w:top w:val="single" w:color="E0E2EB" w:sz="4"/>
              <w:left w:val="single" w:color="E0E2EB" w:sz="4"/>
              <w:bottom w:val="single" w:color="E0E2EB" w:sz="4"/>
              <w:right w:val="single" w:color="E0E2EB" w:sz="4"/>
            </w:tcBorders>
            <w:shd w:fill="0B1C3F" w:color="auto" w:val="clear"/>
            <w:tcMar>
              <w:top w:type="dxa" w:w="100"/>
              <w:left w:type="dxa" w:w="140"/>
              <w:bottom w:type="dxa" w:w="100"/>
              <w:right w:type="dxa" w:w="140"/>
            </w:tcMar>
          </w:tcPr>
          <w:p>
            <w:pPr>
              <w:spacing w:after="0"/>
            </w:pPr>
            <w:r>
              <w:rPr>
                <w:rFonts w:ascii="Calibri" w:cs="Calibri" w:eastAsia="Calibri" w:hAnsi="Calibri"/>
                <w:b/>
                <w:bCs/>
                <w:color w:val="FFFFFF"/>
                <w:sz w:val="21"/>
                <w:szCs w:val="21"/>
              </w:rPr>
              <w:t xml:space="preserve">Question</w:t>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Q25</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2"/>
                <w:szCs w:val="22"/>
              </w:rPr>
              <w:t xml:space="preserve">Provide your complete pricing model: every billable unit (ingestion, hosting per GB per month, user seats, AI features, productions, exports, support tiers) and every charge that could appear on an invoice. Responses containing "additional fees may apply" without itemization will be scored accordingly.</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Q26</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2"/>
                <w:szCs w:val="22"/>
              </w:rPr>
              <w:t xml:space="preserve">Using our Matter Profile: what happens to our annual cost if collected data volume doubles? What are we charged while a matter is stayed or idle?</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Q27</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2"/>
                <w:szCs w:val="22"/>
              </w:rPr>
              <w:t xml:space="preserve">What does it cost to get our data out — production exports during the engagement, and full data return at termination? Itemize any egress, export, or data-return fees.</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Q28</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2"/>
                <w:szCs w:val="22"/>
              </w:rPr>
              <w:t xml:space="preserve">Provide a three-year total cost projection for our Matter Profile, itemized by year and by cost category, stating every assumption used.</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bl>
    <w:p>
      <w:pPr>
        <w:spacing w:after="160" w:before="0"/>
      </w:pPr>
      <w:r>
        <w:rPr>
          <w:rFonts w:ascii="Calibri" w:cs="Calibri" w:eastAsia="Calibri" w:hAnsi="Calibri"/>
          <w:b w:val="false"/>
          <w:bCs w:val="false"/>
          <w:i w:val="false"/>
          <w:iCs w:val="false"/>
          <w:color w:val="2E2E2E"/>
          <w:sz w:val="22"/>
          <w:szCs w:val="22"/>
        </w:rPr>
        <w:t xml:space="preserve"/>
      </w:r>
    </w:p>
    <w:p>
      <w:pPr>
        <w:pStyle w:val="Heading1"/>
        <w:spacing w:after="200" w:before="360"/>
      </w:pPr>
      <w:r>
        <w:rPr>
          <w:rFonts w:ascii="Calibri" w:cs="Calibri" w:eastAsia="Calibri" w:hAnsi="Calibri"/>
          <w:b/>
          <w:bCs/>
          <w:color w:val="0B1C3F"/>
          <w:sz w:val="32"/>
          <w:szCs w:val="32"/>
        </w:rPr>
        <w:t xml:space="preserve">8. Section 6 — Implementation, Training, and Support</w:t>
      </w:r>
    </w:p>
    <w:p>
      <w:pPr>
        <w:spacing w:after="200" w:before="0"/>
      </w:pPr>
      <w:r>
        <w:rPr>
          <w:rFonts w:ascii="Calibri" w:cs="Calibri" w:eastAsia="Calibri" w:hAnsi="Calibri"/>
          <w:b/>
          <w:bCs/>
          <w:i w:val="false"/>
          <w:iCs w:val="false"/>
          <w:color w:val="3BC47D"/>
          <w:sz w:val="20"/>
          <w:szCs w:val="20"/>
        </w:rPr>
        <w:t xml:space="preserve">Suggested evaluation weight: 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00"/>
        <w:gridCol w:w="8560"/>
      </w:tblGrid>
      <w:tr>
        <w:trPr>
          <w:tblHeader/>
        </w:trPr>
        <w:tc>
          <w:tcPr>
            <w:tcW w:type="dxa" w:w="800"/>
            <w:tcBorders>
              <w:top w:val="single" w:color="E0E2EB" w:sz="4"/>
              <w:left w:val="single" w:color="E0E2EB" w:sz="4"/>
              <w:bottom w:val="single" w:color="E0E2EB" w:sz="4"/>
              <w:right w:val="single" w:color="E0E2EB" w:sz="4"/>
            </w:tcBorders>
            <w:shd w:fill="0B1C3F" w:color="auto" w:val="clear"/>
            <w:tcMar>
              <w:top w:type="dxa" w:w="100"/>
              <w:left w:type="dxa" w:w="140"/>
              <w:bottom w:type="dxa" w:w="100"/>
              <w:right w:type="dxa" w:w="140"/>
            </w:tcMar>
          </w:tcPr>
          <w:p>
            <w:pPr>
              <w:spacing w:after="0"/>
            </w:pPr>
            <w:r>
              <w:rPr>
                <w:rFonts w:ascii="Calibri" w:cs="Calibri" w:eastAsia="Calibri" w:hAnsi="Calibri"/>
                <w:b/>
                <w:bCs/>
                <w:color w:val="FFFFFF"/>
                <w:sz w:val="21"/>
                <w:szCs w:val="21"/>
              </w:rPr>
              <w:t xml:space="preserve">#</w:t>
            </w:r>
          </w:p>
        </w:tc>
        <w:tc>
          <w:tcPr>
            <w:tcW w:type="dxa" w:w="8560"/>
            <w:tcBorders>
              <w:top w:val="single" w:color="E0E2EB" w:sz="4"/>
              <w:left w:val="single" w:color="E0E2EB" w:sz="4"/>
              <w:bottom w:val="single" w:color="E0E2EB" w:sz="4"/>
              <w:right w:val="single" w:color="E0E2EB" w:sz="4"/>
            </w:tcBorders>
            <w:shd w:fill="0B1C3F" w:color="auto" w:val="clear"/>
            <w:tcMar>
              <w:top w:type="dxa" w:w="100"/>
              <w:left w:type="dxa" w:w="140"/>
              <w:bottom w:type="dxa" w:w="100"/>
              <w:right w:type="dxa" w:w="140"/>
            </w:tcMar>
          </w:tcPr>
          <w:p>
            <w:pPr>
              <w:spacing w:after="0"/>
            </w:pPr>
            <w:r>
              <w:rPr>
                <w:rFonts w:ascii="Calibri" w:cs="Calibri" w:eastAsia="Calibri" w:hAnsi="Calibri"/>
                <w:b/>
                <w:bCs/>
                <w:color w:val="FFFFFF"/>
                <w:sz w:val="21"/>
                <w:szCs w:val="21"/>
              </w:rPr>
              <w:t xml:space="preserve">Question</w:t>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Q29</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2"/>
                <w:szCs w:val="22"/>
              </w:rPr>
              <w:t xml:space="preserve">Describe a typical implementation for an organization matching our profile: timeline, milestones, division of work between your team and ours, and — if we are migrating from an existing platform — how active matters and their work product (coding, redactions, privilege designations) are transitioned.</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Q30</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2"/>
                <w:szCs w:val="22"/>
              </w:rPr>
              <w:t xml:space="preserve">Describe your support model — tiers, hours of coverage, response SLAs, named contacts — and your training resources. State which are included in the platform price and which are billed separately.</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bl>
    <w:p>
      <w:pPr>
        <w:spacing w:after="160" w:before="0"/>
      </w:pPr>
      <w:r>
        <w:rPr>
          <w:rFonts w:ascii="Calibri" w:cs="Calibri" w:eastAsia="Calibri" w:hAnsi="Calibri"/>
          <w:b w:val="false"/>
          <w:bCs w:val="false"/>
          <w:i w:val="false"/>
          <w:iCs w:val="false"/>
          <w:color w:val="2E2E2E"/>
          <w:sz w:val="22"/>
          <w:szCs w:val="22"/>
        </w:rPr>
        <w:t xml:space="preserve"/>
      </w:r>
    </w:p>
    <w:p>
      <w:pPr>
        <w:pStyle w:val="Heading1"/>
        <w:spacing w:after="200" w:before="360"/>
      </w:pPr>
      <w:r>
        <w:rPr>
          <w:rFonts w:ascii="Calibri" w:cs="Calibri" w:eastAsia="Calibri" w:hAnsi="Calibri"/>
          <w:b/>
          <w:bCs/>
          <w:color w:val="0B1C3F"/>
          <w:sz w:val="32"/>
          <w:szCs w:val="32"/>
        </w:rPr>
        <w:t xml:space="preserve">9. Section 7 — Scalability and Multi-Matter Management</w:t>
      </w:r>
    </w:p>
    <w:p>
      <w:pPr>
        <w:spacing w:after="200" w:before="0"/>
      </w:pPr>
      <w:r>
        <w:rPr>
          <w:rFonts w:ascii="Calibri" w:cs="Calibri" w:eastAsia="Calibri" w:hAnsi="Calibri"/>
          <w:b/>
          <w:bCs/>
          <w:i w:val="false"/>
          <w:iCs w:val="false"/>
          <w:color w:val="3BC47D"/>
          <w:sz w:val="20"/>
          <w:szCs w:val="20"/>
        </w:rPr>
        <w:t xml:space="preserve">Suggested evaluation weight: 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00"/>
        <w:gridCol w:w="8560"/>
      </w:tblGrid>
      <w:tr>
        <w:trPr>
          <w:tblHeader/>
        </w:trPr>
        <w:tc>
          <w:tcPr>
            <w:tcW w:type="dxa" w:w="800"/>
            <w:tcBorders>
              <w:top w:val="single" w:color="E0E2EB" w:sz="4"/>
              <w:left w:val="single" w:color="E0E2EB" w:sz="4"/>
              <w:bottom w:val="single" w:color="E0E2EB" w:sz="4"/>
              <w:right w:val="single" w:color="E0E2EB" w:sz="4"/>
            </w:tcBorders>
            <w:shd w:fill="0B1C3F" w:color="auto" w:val="clear"/>
            <w:tcMar>
              <w:top w:type="dxa" w:w="100"/>
              <w:left w:type="dxa" w:w="140"/>
              <w:bottom w:type="dxa" w:w="100"/>
              <w:right w:type="dxa" w:w="140"/>
            </w:tcMar>
          </w:tcPr>
          <w:p>
            <w:pPr>
              <w:spacing w:after="0"/>
            </w:pPr>
            <w:r>
              <w:rPr>
                <w:rFonts w:ascii="Calibri" w:cs="Calibri" w:eastAsia="Calibri" w:hAnsi="Calibri"/>
                <w:b/>
                <w:bCs/>
                <w:color w:val="FFFFFF"/>
                <w:sz w:val="21"/>
                <w:szCs w:val="21"/>
              </w:rPr>
              <w:t xml:space="preserve">#</w:t>
            </w:r>
          </w:p>
        </w:tc>
        <w:tc>
          <w:tcPr>
            <w:tcW w:type="dxa" w:w="8560"/>
            <w:tcBorders>
              <w:top w:val="single" w:color="E0E2EB" w:sz="4"/>
              <w:left w:val="single" w:color="E0E2EB" w:sz="4"/>
              <w:bottom w:val="single" w:color="E0E2EB" w:sz="4"/>
              <w:right w:val="single" w:color="E0E2EB" w:sz="4"/>
            </w:tcBorders>
            <w:shd w:fill="0B1C3F" w:color="auto" w:val="clear"/>
            <w:tcMar>
              <w:top w:type="dxa" w:w="100"/>
              <w:left w:type="dxa" w:w="140"/>
              <w:bottom w:type="dxa" w:w="100"/>
              <w:right w:type="dxa" w:w="140"/>
            </w:tcMar>
          </w:tcPr>
          <w:p>
            <w:pPr>
              <w:spacing w:after="0"/>
            </w:pPr>
            <w:r>
              <w:rPr>
                <w:rFonts w:ascii="Calibri" w:cs="Calibri" w:eastAsia="Calibri" w:hAnsi="Calibri"/>
                <w:b/>
                <w:bCs/>
                <w:color w:val="FFFFFF"/>
                <w:sz w:val="21"/>
                <w:szCs w:val="21"/>
              </w:rPr>
              <w:t xml:space="preserve">Question</w:t>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Q31</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2"/>
                <w:szCs w:val="22"/>
              </w:rPr>
              <w:t xml:space="preserve">What is the largest matter — by data volume and document count — that the platform currently supports in production use? Provide a reference customer operating at comparable scale whom we may contact.</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r>
        <w:tc>
          <w:tcPr>
            <w:tcW w:type="dxa" w:w="800"/>
            <w:tcBorders>
              <w:top w:val="single" w:color="E0E2EB" w:sz="4"/>
              <w:left w:val="single" w:color="E0E2EB" w:sz="4"/>
              <w:bottom w:val="single" w:color="E0E2EB" w:sz="4"/>
              <w:right w:val="single" w:color="E0E2EB" w:sz="4"/>
            </w:tcBorders>
            <w:shd w:fill="F5F6FA" w:color="auto" w:val="clear"/>
            <w:tcMar>
              <w:top w:type="dxa" w:w="100"/>
              <w:left w:type="dxa" w:w="140"/>
              <w:bottom w:type="dxa" w:w="100"/>
              <w:right w:type="dxa" w:w="140"/>
            </w:tcMar>
          </w:tcPr>
          <w:p>
            <w:pPr>
              <w:spacing w:after="0"/>
            </w:pPr>
            <w:r>
              <w:rPr>
                <w:rFonts w:ascii="Calibri" w:cs="Calibri" w:eastAsia="Calibri" w:hAnsi="Calibri"/>
                <w:b/>
                <w:bCs/>
                <w:i w:val="false"/>
                <w:iCs w:val="false"/>
                <w:color w:val="0B1C3F"/>
                <w:sz w:val="21"/>
                <w:szCs w:val="21"/>
              </w:rPr>
              <w:t xml:space="preserve">Q32</w:t>
            </w:r>
          </w:p>
        </w:tc>
        <w:tc>
          <w:tcPr>
            <w:tcW w:type="dxa" w:w="856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bCs/>
                <w:i w:val="false"/>
                <w:iCs w:val="false"/>
                <w:color w:val="2E2E2E"/>
                <w:sz w:val="22"/>
                <w:szCs w:val="22"/>
              </w:rPr>
              <w:t xml:space="preserve">How does the platform support managing many matters at once: matter templates, cross-matter search and work-product reuse, and portfolio-level reporting?</w:t>
            </w:r>
          </w:p>
        </w:tc>
      </w:tr>
      <w:tr>
        <w:tc>
          <w:tcPr>
            <w:tcW w:type="dxa" w:w="800"/>
            <w:tcBorders>
              <w:top w:val="single" w:color="E0E2EB" w:sz="4"/>
              <w:left w:val="single" w:color="E0E2EB" w:sz="4"/>
              <w:bottom w:val="single" w:color="E0E2EB" w:sz="4"/>
              <w:right w:val="single" w:color="E0E2EB" w:sz="4"/>
            </w:tcBorders>
            <w:tcMar>
              <w:top w:type="dxa" w:w="100"/>
              <w:left w:type="dxa" w:w="140"/>
              <w:bottom w:type="dxa" w:w="100"/>
              <w:right w:type="dxa" w:w="140"/>
            </w:tcMar>
          </w:tcPr>
          <w:p>
            <w:pPr>
              <w:spacing w:after="0"/>
            </w:pPr>
            <w:r>
              <w:rPr>
                <w:rFonts w:ascii="Calibri" w:cs="Calibri" w:eastAsia="Calibri" w:hAnsi="Calibri"/>
                <w:b w:val="false"/>
                <w:bCs w:val="false"/>
                <w:i w:val="false"/>
                <w:iCs w:val="false"/>
                <w:color w:val="2E2E2E"/>
                <w:sz w:val="22"/>
                <w:szCs w:val="22"/>
              </w:rPr>
              <w:t xml:space="preserve"/>
            </w:r>
          </w:p>
        </w:tc>
        <w:tc>
          <w:tcPr>
            <w:tcW w:type="dxa" w:w="8560"/>
            <w:tcBorders>
              <w:top w:val="single" w:color="E0E2EB" w:sz="4"/>
              <w:left w:val="single" w:color="E0E2EB" w:sz="4"/>
              <w:bottom w:val="single" w:color="E0E2EB" w:sz="4"/>
              <w:right w:val="single" w:color="E0E2EB" w:sz="4"/>
            </w:tcBorders>
            <w:shd w:fill="EAF6F1" w:color="auto" w:val="clear"/>
            <w:tcMar>
              <w:top w:type="dxa" w:w="100"/>
              <w:left w:type="dxa" w:w="140"/>
              <w:bottom w:type="dxa" w:w="100"/>
              <w:right w:type="dxa" w:w="140"/>
            </w:tcMar>
          </w:tcPr>
          <w:p>
            <w:pPr>
              <w:spacing w:after="60"/>
            </w:pPr>
            <w:r>
              <w:rPr>
                <w:rFonts w:ascii="Calibri" w:cs="Calibri" w:eastAsia="Calibri" w:hAnsi="Calibri"/>
                <w:b/>
                <w:bCs/>
                <w:i w:val="false"/>
                <w:iCs w:val="false"/>
                <w:color w:val="3BC47D"/>
                <w:sz w:val="20"/>
                <w:szCs w:val="20"/>
              </w:rPr>
              <w:t xml:space="preserve">Vendor response:</w:t>
            </w:r>
          </w:p>
          <w:p>
            <w:pPr>
              <w:spacing w:after="400"/>
            </w:pPr>
            <w:r>
              <w:rPr>
                <w:rFonts w:ascii="Calibri" w:cs="Calibri" w:eastAsia="Calibri" w:hAnsi="Calibri"/>
                <w:b w:val="false"/>
                <w:bCs w:val="false"/>
                <w:i w:val="false"/>
                <w:iCs w:val="false"/>
                <w:color w:val="2E2E2E"/>
                <w:sz w:val="22"/>
                <w:szCs w:val="22"/>
              </w:rPr>
              <w:t xml:space="preserve"/>
            </w:r>
          </w:p>
        </w:tc>
      </w:tr>
    </w:tbl>
    <w:p>
      <w:pPr>
        <w:spacing w:after="160" w:before="0"/>
      </w:pPr>
      <w:r>
        <w:rPr>
          <w:rFonts w:ascii="Calibri" w:cs="Calibri" w:eastAsia="Calibri" w:hAnsi="Calibri"/>
          <w:b w:val="false"/>
          <w:bCs w:val="false"/>
          <w:i w:val="false"/>
          <w:iCs w:val="false"/>
          <w:color w:val="2E2E2E"/>
          <w:sz w:val="22"/>
          <w:szCs w:val="22"/>
        </w:rPr>
        <w:t xml:space="preserve"/>
      </w:r>
    </w:p>
    <w:p>
      <w:pPr>
        <w:pStyle w:val="Heading1"/>
        <w:spacing w:after="200" w:before="360"/>
      </w:pPr>
      <w:r>
        <w:rPr>
          <w:rFonts w:ascii="Calibri" w:cs="Calibri" w:eastAsia="Calibri" w:hAnsi="Calibri"/>
          <w:b/>
          <w:bCs/>
          <w:color w:val="0B1C3F"/>
          <w:sz w:val="32"/>
          <w:szCs w:val="32"/>
        </w:rPr>
        <w:t xml:space="preserve">10. How Responses Will Be Evaluated</w:t>
      </w:r>
    </w:p>
    <w:p>
      <w:pPr>
        <w:spacing w:after="160" w:before="0"/>
      </w:pPr>
      <w:r>
        <w:rPr>
          <w:rFonts w:ascii="Calibri" w:cs="Calibri" w:eastAsia="Calibri" w:hAnsi="Calibri"/>
          <w:b w:val="false"/>
          <w:bCs w:val="false"/>
          <w:i w:val="false"/>
          <w:iCs w:val="false"/>
          <w:color w:val="2E2E2E"/>
          <w:sz w:val="22"/>
          <w:szCs w:val="22"/>
        </w:rPr>
        <w:t xml:space="preserve">Responses will be scored on an anchored 0–5 scale per question and weighted by category. Questions marked MANDATORY are pass/fail: failing any mandatory requirement ends the evaluation regardless of total score. Shortlisted vendors will be invited to a demonstration and asked to address their lowest-scoring responses live.</w:t>
      </w:r>
    </w:p>
    <w:p>
      <w:pPr>
        <w:spacing w:after="160" w:before="0"/>
      </w:pPr>
      <w:r>
        <w:rPr>
          <w:rFonts w:ascii="Calibri" w:cs="Calibri" w:eastAsia="Calibri" w:hAnsi="Calibri"/>
          <w:b w:val="false"/>
          <w:bCs w:val="false"/>
          <w:i/>
          <w:iCs/>
          <w:color w:val="666666"/>
          <w:sz w:val="22"/>
          <w:szCs w:val="22"/>
        </w:rPr>
        <w:t xml:space="preserve">[Optional: disclose your category weights to vendors here. Disclosing weights tends to improve response quality on the categories you care about most.]</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8"/>
        <w:szCs w:val="18"/>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r>
      <w:rPr>
        <w:rFonts w:ascii="Calibri" w:cs="Calibri" w:eastAsia="Calibri" w:hAnsi="Calibri"/>
        <w:color w:val="666666"/>
        <w:sz w:val="18"/>
        <w:szCs w:val="18"/>
      </w:rPr>
      <w:t xml:space="preserve">   ·   Template: Venio Systems — veniosystems.com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b w:val="false"/>
        <w:bCs w:val="false"/>
        <w:i w:val="false"/>
        <w:iCs w:val="false"/>
        <w:color w:val="666666"/>
        <w:sz w:val="18"/>
        <w:szCs w:val="18"/>
      </w:rPr>
      <w:t xml:space="preserve">eDiscovery Platform RFP — [Organization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3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E2E2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2026-08-27T07:18:21.055Z</dcterms:created>
  <dcterms:modified xsi:type="dcterms:W3CDTF">2026-08-27T07:18:21.072Z</dcterms:modified>
</cp:coreProperties>
</file>

<file path=docProps/custom.xml><?xml version="1.0" encoding="utf-8"?>
<Properties xmlns="http://schemas.openxmlformats.org/officeDocument/2006/custom-properties" xmlns:vt="http://schemas.openxmlformats.org/officeDocument/2006/docPropsVTypes"/>
</file>